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645"/>
        <w:bidiVisual/>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418"/>
        <w:gridCol w:w="1417"/>
        <w:gridCol w:w="1276"/>
        <w:gridCol w:w="1276"/>
        <w:gridCol w:w="1134"/>
        <w:gridCol w:w="1560"/>
      </w:tblGrid>
      <w:tr w:rsidR="00A74697" w:rsidRPr="006C05E9" w:rsidTr="00A74697">
        <w:trPr>
          <w:trHeight w:val="412"/>
        </w:trPr>
        <w:tc>
          <w:tcPr>
            <w:tcW w:w="9280" w:type="dxa"/>
            <w:gridSpan w:val="7"/>
            <w:tcBorders>
              <w:top w:val="double" w:sz="4" w:space="0" w:color="auto"/>
              <w:left w:val="double" w:sz="4" w:space="0" w:color="auto"/>
              <w:bottom w:val="double" w:sz="4" w:space="0" w:color="auto"/>
              <w:right w:val="double" w:sz="4" w:space="0" w:color="auto"/>
            </w:tcBorders>
            <w:vAlign w:val="center"/>
          </w:tcPr>
          <w:p w:rsidR="00A74697" w:rsidRPr="006C05E9" w:rsidRDefault="00A74697" w:rsidP="00A74697">
            <w:pPr>
              <w:spacing w:line="276" w:lineRule="auto"/>
              <w:jc w:val="center"/>
              <w:rPr>
                <w:rFonts w:ascii="Arial" w:hAnsi="Arial" w:cs="Arial"/>
                <w:b/>
                <w:bCs/>
                <w:sz w:val="14"/>
                <w:szCs w:val="14"/>
                <w:rtl/>
              </w:rPr>
            </w:pPr>
            <w:r w:rsidRPr="00A74697">
              <w:rPr>
                <w:rFonts w:ascii="Arial" w:hAnsi="Arial" w:cs="Arial" w:hint="cs"/>
                <w:b/>
                <w:bCs/>
                <w:sz w:val="24"/>
                <w:szCs w:val="24"/>
                <w:rtl/>
              </w:rPr>
              <w:t>چک لیست پایش  مربی/ مراقب سلامت ناظر</w:t>
            </w:r>
            <w:r w:rsidR="001644F7">
              <w:rPr>
                <w:rFonts w:ascii="Arial" w:hAnsi="Arial" w:cs="Arial" w:hint="cs"/>
                <w:b/>
                <w:bCs/>
                <w:sz w:val="14"/>
                <w:szCs w:val="14"/>
                <w:rtl/>
              </w:rPr>
              <w:t xml:space="preserve">  </w:t>
            </w:r>
            <w:r w:rsidR="001644F7" w:rsidRPr="001644F7">
              <w:rPr>
                <w:rFonts w:ascii="Arial" w:hAnsi="Arial" w:cs="Arial" w:hint="cs"/>
                <w:b/>
                <w:bCs/>
                <w:sz w:val="34"/>
                <w:szCs w:val="34"/>
                <w:rtl/>
              </w:rPr>
              <w:t>1400</w:t>
            </w:r>
          </w:p>
        </w:tc>
      </w:tr>
      <w:tr w:rsidR="00A74697" w:rsidRPr="006C05E9" w:rsidTr="00A74697">
        <w:trPr>
          <w:trHeight w:val="384"/>
        </w:trPr>
        <w:tc>
          <w:tcPr>
            <w:tcW w:w="1199" w:type="dxa"/>
            <w:tcBorders>
              <w:top w:val="double" w:sz="4" w:space="0" w:color="auto"/>
              <w:left w:val="double" w:sz="4" w:space="0" w:color="auto"/>
              <w:bottom w:val="single" w:sz="4" w:space="0" w:color="auto"/>
              <w:right w:val="single" w:sz="4" w:space="0" w:color="auto"/>
            </w:tcBorders>
            <w:vAlign w:val="center"/>
          </w:tcPr>
          <w:p w:rsidR="00A74697" w:rsidRPr="006C05E9" w:rsidRDefault="00A74697" w:rsidP="0083463E">
            <w:pPr>
              <w:spacing w:line="276" w:lineRule="auto"/>
              <w:jc w:val="center"/>
              <w:rPr>
                <w:rFonts w:ascii="Arial" w:hAnsi="Arial" w:cs="Arial"/>
                <w:b/>
                <w:bCs/>
                <w:sz w:val="16"/>
                <w:szCs w:val="16"/>
                <w:rtl/>
              </w:rPr>
            </w:pPr>
            <w:r w:rsidRPr="006C05E9">
              <w:rPr>
                <w:rFonts w:ascii="Arial" w:hAnsi="Arial" w:cs="Arial" w:hint="cs"/>
                <w:b/>
                <w:bCs/>
                <w:sz w:val="16"/>
                <w:szCs w:val="16"/>
                <w:rtl/>
              </w:rPr>
              <w:t>شهرستان</w:t>
            </w:r>
          </w:p>
        </w:tc>
        <w:tc>
          <w:tcPr>
            <w:tcW w:w="1418" w:type="dxa"/>
            <w:tcBorders>
              <w:top w:val="double" w:sz="4" w:space="0" w:color="auto"/>
              <w:left w:val="single" w:sz="4" w:space="0" w:color="auto"/>
              <w:bottom w:val="single" w:sz="4" w:space="0" w:color="auto"/>
              <w:right w:val="single" w:sz="4" w:space="0" w:color="auto"/>
            </w:tcBorders>
            <w:vAlign w:val="center"/>
          </w:tcPr>
          <w:p w:rsidR="00A74697" w:rsidRPr="006C05E9" w:rsidRDefault="00A74697" w:rsidP="00A74697">
            <w:pPr>
              <w:spacing w:line="276" w:lineRule="auto"/>
              <w:jc w:val="center"/>
              <w:rPr>
                <w:rFonts w:ascii="Arial" w:hAnsi="Arial" w:cs="Arial"/>
                <w:b/>
                <w:bCs/>
                <w:sz w:val="16"/>
                <w:szCs w:val="16"/>
                <w:rtl/>
              </w:rPr>
            </w:pPr>
            <w:r>
              <w:rPr>
                <w:rFonts w:ascii="Arial" w:hAnsi="Arial" w:cs="Arial" w:hint="cs"/>
                <w:b/>
                <w:bCs/>
                <w:sz w:val="16"/>
                <w:szCs w:val="16"/>
                <w:rtl/>
              </w:rPr>
              <w:t xml:space="preserve">مرکز </w:t>
            </w:r>
          </w:p>
        </w:tc>
        <w:tc>
          <w:tcPr>
            <w:tcW w:w="1417" w:type="dxa"/>
            <w:tcBorders>
              <w:top w:val="double" w:sz="4" w:space="0" w:color="auto"/>
              <w:left w:val="single" w:sz="4" w:space="0" w:color="auto"/>
              <w:bottom w:val="single" w:sz="4" w:space="0" w:color="auto"/>
              <w:right w:val="single" w:sz="4" w:space="0" w:color="auto"/>
            </w:tcBorders>
            <w:vAlign w:val="center"/>
          </w:tcPr>
          <w:p w:rsidR="00A74697" w:rsidRPr="006C05E9" w:rsidRDefault="00A74697" w:rsidP="0083463E">
            <w:pPr>
              <w:spacing w:line="276" w:lineRule="auto"/>
              <w:jc w:val="center"/>
              <w:rPr>
                <w:rFonts w:ascii="Arial" w:hAnsi="Arial" w:cs="Arial"/>
                <w:b/>
                <w:bCs/>
                <w:sz w:val="16"/>
                <w:szCs w:val="16"/>
                <w:rtl/>
              </w:rPr>
            </w:pPr>
            <w:r w:rsidRPr="006C05E9">
              <w:rPr>
                <w:rFonts w:ascii="Arial" w:hAnsi="Arial" w:cs="Arial" w:hint="cs"/>
                <w:b/>
                <w:bCs/>
                <w:sz w:val="16"/>
                <w:szCs w:val="16"/>
                <w:rtl/>
              </w:rPr>
              <w:t>تاریخ پایش</w:t>
            </w:r>
          </w:p>
        </w:tc>
        <w:tc>
          <w:tcPr>
            <w:tcW w:w="1276" w:type="dxa"/>
            <w:tcBorders>
              <w:top w:val="double" w:sz="4" w:space="0" w:color="auto"/>
              <w:left w:val="single" w:sz="4" w:space="0" w:color="auto"/>
              <w:bottom w:val="single" w:sz="4" w:space="0" w:color="auto"/>
            </w:tcBorders>
            <w:vAlign w:val="center"/>
          </w:tcPr>
          <w:p w:rsidR="00A74697" w:rsidRPr="006C05E9" w:rsidRDefault="00A74697" w:rsidP="0083463E">
            <w:pPr>
              <w:spacing w:line="276" w:lineRule="auto"/>
              <w:jc w:val="center"/>
              <w:rPr>
                <w:rFonts w:ascii="Arial" w:hAnsi="Arial" w:cs="Arial"/>
                <w:b/>
                <w:bCs/>
                <w:sz w:val="16"/>
                <w:szCs w:val="16"/>
                <w:rtl/>
              </w:rPr>
            </w:pPr>
            <w:r>
              <w:rPr>
                <w:rFonts w:ascii="Arial" w:hAnsi="Arial" w:cs="Arial" w:hint="cs"/>
                <w:b/>
                <w:bCs/>
                <w:sz w:val="16"/>
                <w:szCs w:val="16"/>
                <w:rtl/>
              </w:rPr>
              <w:t>پایش کننده</w:t>
            </w:r>
          </w:p>
        </w:tc>
        <w:tc>
          <w:tcPr>
            <w:tcW w:w="1276" w:type="dxa"/>
            <w:tcBorders>
              <w:top w:val="double" w:sz="4" w:space="0" w:color="auto"/>
            </w:tcBorders>
            <w:vAlign w:val="center"/>
          </w:tcPr>
          <w:p w:rsidR="00A74697" w:rsidRPr="006C05E9" w:rsidRDefault="00A74697" w:rsidP="0083463E">
            <w:pPr>
              <w:spacing w:line="276" w:lineRule="auto"/>
              <w:jc w:val="center"/>
              <w:rPr>
                <w:rFonts w:ascii="Arial" w:hAnsi="Arial" w:cs="Arial"/>
                <w:b/>
                <w:bCs/>
                <w:sz w:val="14"/>
                <w:szCs w:val="14"/>
                <w:rtl/>
              </w:rPr>
            </w:pPr>
            <w:r>
              <w:rPr>
                <w:rFonts w:ascii="Arial" w:hAnsi="Arial" w:cs="Arial" w:hint="cs"/>
                <w:b/>
                <w:bCs/>
                <w:sz w:val="14"/>
                <w:szCs w:val="14"/>
                <w:rtl/>
              </w:rPr>
              <w:t>پایش شونده</w:t>
            </w:r>
          </w:p>
        </w:tc>
        <w:tc>
          <w:tcPr>
            <w:tcW w:w="1134" w:type="dxa"/>
            <w:tcBorders>
              <w:top w:val="double" w:sz="4" w:space="0" w:color="auto"/>
            </w:tcBorders>
            <w:vAlign w:val="center"/>
          </w:tcPr>
          <w:p w:rsidR="00A74697" w:rsidRPr="006C05E9" w:rsidRDefault="00A74697" w:rsidP="0083463E">
            <w:pPr>
              <w:spacing w:line="276" w:lineRule="auto"/>
              <w:jc w:val="center"/>
              <w:rPr>
                <w:rFonts w:ascii="Arial" w:hAnsi="Arial" w:cs="Arial"/>
                <w:b/>
                <w:bCs/>
                <w:sz w:val="16"/>
                <w:szCs w:val="16"/>
                <w:rtl/>
              </w:rPr>
            </w:pPr>
            <w:r>
              <w:rPr>
                <w:rFonts w:ascii="Arial" w:hAnsi="Arial" w:cs="Arial" w:hint="cs"/>
                <w:b/>
                <w:bCs/>
                <w:sz w:val="16"/>
                <w:szCs w:val="16"/>
                <w:rtl/>
              </w:rPr>
              <w:t>تلفن تما س</w:t>
            </w:r>
          </w:p>
        </w:tc>
        <w:tc>
          <w:tcPr>
            <w:tcW w:w="1560" w:type="dxa"/>
            <w:tcBorders>
              <w:top w:val="double" w:sz="4" w:space="0" w:color="auto"/>
              <w:right w:val="double" w:sz="4" w:space="0" w:color="auto"/>
            </w:tcBorders>
            <w:vAlign w:val="center"/>
          </w:tcPr>
          <w:p w:rsidR="00A74697" w:rsidRPr="006C05E9" w:rsidRDefault="00A74697" w:rsidP="0083463E">
            <w:pPr>
              <w:spacing w:line="276" w:lineRule="auto"/>
              <w:jc w:val="center"/>
              <w:rPr>
                <w:rFonts w:ascii="Arial" w:hAnsi="Arial" w:cs="Arial"/>
                <w:b/>
                <w:bCs/>
                <w:sz w:val="14"/>
                <w:szCs w:val="14"/>
                <w:rtl/>
              </w:rPr>
            </w:pPr>
            <w:r w:rsidRPr="006C05E9">
              <w:rPr>
                <w:rFonts w:ascii="Arial" w:hAnsi="Arial" w:cs="Arial" w:hint="cs"/>
                <w:b/>
                <w:bCs/>
                <w:sz w:val="14"/>
                <w:szCs w:val="14"/>
                <w:rtl/>
              </w:rPr>
              <w:t>امتیاز کسب شده</w:t>
            </w:r>
          </w:p>
        </w:tc>
      </w:tr>
      <w:tr w:rsidR="00A74697" w:rsidRPr="006C05E9" w:rsidTr="00A74697">
        <w:trPr>
          <w:trHeight w:val="551"/>
        </w:trPr>
        <w:tc>
          <w:tcPr>
            <w:tcW w:w="1199" w:type="dxa"/>
            <w:tcBorders>
              <w:left w:val="double" w:sz="4" w:space="0" w:color="auto"/>
              <w:bottom w:val="double" w:sz="4" w:space="0" w:color="auto"/>
              <w:right w:val="sing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418" w:type="dxa"/>
            <w:tcBorders>
              <w:left w:val="single" w:sz="4" w:space="0" w:color="auto"/>
              <w:bottom w:val="double" w:sz="4" w:space="0" w:color="auto"/>
              <w:right w:val="sing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417" w:type="dxa"/>
            <w:tcBorders>
              <w:left w:val="single" w:sz="4" w:space="0" w:color="auto"/>
              <w:bottom w:val="double" w:sz="4" w:space="0" w:color="auto"/>
              <w:right w:val="sing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276" w:type="dxa"/>
            <w:tcBorders>
              <w:left w:val="single" w:sz="4" w:space="0" w:color="auto"/>
              <w:bottom w:val="doub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276" w:type="dxa"/>
            <w:tcBorders>
              <w:bottom w:val="doub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134" w:type="dxa"/>
            <w:tcBorders>
              <w:bottom w:val="double" w:sz="4" w:space="0" w:color="auto"/>
            </w:tcBorders>
          </w:tcPr>
          <w:p w:rsidR="00A74697" w:rsidRPr="006C05E9" w:rsidRDefault="00A74697" w:rsidP="0083463E">
            <w:pPr>
              <w:spacing w:line="360" w:lineRule="auto"/>
              <w:jc w:val="center"/>
              <w:rPr>
                <w:rFonts w:ascii="Arial" w:hAnsi="Arial" w:cs="Arial"/>
                <w:b/>
                <w:bCs/>
                <w:sz w:val="16"/>
                <w:szCs w:val="16"/>
                <w:rtl/>
              </w:rPr>
            </w:pPr>
          </w:p>
        </w:tc>
        <w:tc>
          <w:tcPr>
            <w:tcW w:w="1560" w:type="dxa"/>
            <w:tcBorders>
              <w:bottom w:val="double" w:sz="4" w:space="0" w:color="auto"/>
              <w:right w:val="double" w:sz="4" w:space="0" w:color="auto"/>
            </w:tcBorders>
          </w:tcPr>
          <w:p w:rsidR="00A74697" w:rsidRPr="006C05E9" w:rsidRDefault="00A74697" w:rsidP="0083463E">
            <w:pPr>
              <w:spacing w:line="360" w:lineRule="auto"/>
              <w:jc w:val="center"/>
              <w:rPr>
                <w:rFonts w:ascii="Arial" w:hAnsi="Arial" w:cs="Arial"/>
                <w:b/>
                <w:bCs/>
                <w:sz w:val="14"/>
                <w:szCs w:val="14"/>
                <w:rtl/>
              </w:rPr>
            </w:pPr>
          </w:p>
        </w:tc>
      </w:tr>
    </w:tbl>
    <w:tbl>
      <w:tblPr>
        <w:tblpPr w:leftFromText="180" w:rightFromText="180" w:vertAnchor="page" w:horzAnchor="margin" w:tblpXSpec="center" w:tblpY="2353"/>
        <w:bidiVisual/>
        <w:tblW w:w="9376" w:type="dxa"/>
        <w:tblLook w:val="04A0" w:firstRow="1" w:lastRow="0" w:firstColumn="1" w:lastColumn="0" w:noHBand="0" w:noVBand="1"/>
      </w:tblPr>
      <w:tblGrid>
        <w:gridCol w:w="700"/>
        <w:gridCol w:w="7420"/>
        <w:gridCol w:w="1256"/>
      </w:tblGrid>
      <w:tr w:rsidR="00A74697" w:rsidRPr="00A74697" w:rsidTr="00A74697">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Pr>
            </w:pPr>
            <w:r w:rsidRPr="00A74697">
              <w:rPr>
                <w:rFonts w:ascii="Arial" w:eastAsia="Times New Roman" w:hAnsi="Arial" w:cs="B Nazanin" w:hint="cs"/>
                <w:b/>
                <w:bCs/>
                <w:color w:val="000000"/>
                <w:sz w:val="20"/>
                <w:szCs w:val="20"/>
                <w:rtl/>
              </w:rPr>
              <w:t>ردیف</w:t>
            </w:r>
          </w:p>
        </w:tc>
        <w:tc>
          <w:tcPr>
            <w:tcW w:w="7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چک لیست پایش  مربی و مراقب سلامت  ناظر</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امتیاز</w:t>
            </w: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1</w:t>
            </w:r>
          </w:p>
        </w:tc>
        <w:tc>
          <w:tcPr>
            <w:tcW w:w="7420" w:type="dxa"/>
            <w:tcBorders>
              <w:top w:val="nil"/>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 xml:space="preserve">نواقص درون دادهای ضروری پیگیری گردیده است </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10</w:t>
            </w: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2</w:t>
            </w:r>
          </w:p>
        </w:tc>
        <w:tc>
          <w:tcPr>
            <w:tcW w:w="7420" w:type="dxa"/>
            <w:tcBorders>
              <w:top w:val="nil"/>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در پایش خانه بهداشت تمام بهورزان مورد پایش قرار می گیرند</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10</w:t>
            </w: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3</w:t>
            </w:r>
          </w:p>
        </w:tc>
        <w:tc>
          <w:tcPr>
            <w:tcW w:w="7420" w:type="dxa"/>
            <w:tcBorders>
              <w:top w:val="nil"/>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 xml:space="preserve"> پایش فرایندها طبق برنامه سالانه است</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10</w:t>
            </w: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4</w:t>
            </w:r>
          </w:p>
        </w:tc>
        <w:tc>
          <w:tcPr>
            <w:tcW w:w="7420" w:type="dxa"/>
            <w:tcBorders>
              <w:top w:val="nil"/>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نحوه پایش از فرآیندهای خانه بهداشت مطلوب است.</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 </w:t>
            </w:r>
            <w:r w:rsidR="00F74916">
              <w:rPr>
                <w:rFonts w:ascii="Times New Roman" w:eastAsia="Times New Roman" w:hAnsi="Times New Roman" w:cs="Times New Roman" w:hint="cs"/>
                <w:b/>
                <w:bCs/>
                <w:color w:val="000000"/>
                <w:sz w:val="20"/>
                <w:szCs w:val="20"/>
                <w:rtl/>
              </w:rPr>
              <w:t>30</w:t>
            </w:r>
          </w:p>
        </w:tc>
      </w:tr>
      <w:tr w:rsidR="00A74697" w:rsidRPr="00A74697" w:rsidTr="00F74916">
        <w:trPr>
          <w:trHeight w:val="1335"/>
        </w:trPr>
        <w:tc>
          <w:tcPr>
            <w:tcW w:w="70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راهنما</w:t>
            </w:r>
          </w:p>
        </w:tc>
        <w:tc>
          <w:tcPr>
            <w:tcW w:w="7420" w:type="dxa"/>
            <w:tcBorders>
              <w:top w:val="nil"/>
              <w:left w:val="nil"/>
              <w:bottom w:val="nil"/>
              <w:right w:val="nil"/>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بر اساس آخرین نتیجه پایش فرایند</w:t>
            </w:r>
            <w:bookmarkStart w:id="0" w:name="_GoBack"/>
            <w:bookmarkEnd w:id="0"/>
            <w:r w:rsidRPr="00A74697">
              <w:rPr>
                <w:rFonts w:ascii="Arial" w:eastAsia="Times New Roman" w:hAnsi="Arial" w:cs="B Nazanin" w:hint="cs"/>
                <w:color w:val="000000"/>
                <w:sz w:val="20"/>
                <w:szCs w:val="20"/>
                <w:rtl/>
              </w:rPr>
              <w:t>های انجام گرفته ،مربی خانه بهداشت نمره قابل قبول را درج نموده است. کارشناس ستادی در معیت مربی فرایند مورد نظر را با استفاده از چک لیست پایش مجددا پایش نموده. سپس امتیاز آخرین پایش انجام شده از فرایند توسط مربی مربوطه و نتیجه پایش فعلی  بررسی می گردد. چنانچه نمره قبلی پایش فرایند و نمره فعلی آن با توجه به تحلیل مربی منطبق باشند امتیاز داده شود</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A74697">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5</w:t>
            </w:r>
          </w:p>
        </w:tc>
        <w:tc>
          <w:tcPr>
            <w:tcW w:w="7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 xml:space="preserve"> تحلیل مربی از آخرین نتیجه پایش فرایند /فرایندها مطلوب است</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F74916" w:rsidP="00A74697">
            <w:pPr>
              <w:spacing w:after="0" w:line="240" w:lineRule="auto"/>
              <w:jc w:val="center"/>
              <w:rPr>
                <w:rFonts w:ascii="Times New Roman" w:eastAsia="Times New Roman" w:hAnsi="Times New Roman" w:cs="Times New Roman"/>
                <w:b/>
                <w:bCs/>
                <w:color w:val="000000"/>
                <w:sz w:val="20"/>
                <w:szCs w:val="20"/>
                <w:rtl/>
              </w:rPr>
            </w:pPr>
            <w:r>
              <w:rPr>
                <w:rFonts w:ascii="Times New Roman" w:eastAsia="Times New Roman" w:hAnsi="Times New Roman" w:cs="Times New Roman" w:hint="cs"/>
                <w:b/>
                <w:bCs/>
                <w:color w:val="000000"/>
                <w:sz w:val="20"/>
                <w:szCs w:val="20"/>
                <w:rtl/>
              </w:rPr>
              <w:t>15</w:t>
            </w:r>
            <w:r w:rsidR="00A74697" w:rsidRPr="00A74697">
              <w:rPr>
                <w:rFonts w:ascii="Times New Roman" w:eastAsia="Times New Roman" w:hAnsi="Times New Roman" w:cs="Times New Roman"/>
                <w:b/>
                <w:bCs/>
                <w:color w:val="000000"/>
                <w:sz w:val="20"/>
                <w:szCs w:val="20"/>
                <w:rtl/>
              </w:rPr>
              <w:t> </w:t>
            </w:r>
          </w:p>
        </w:tc>
      </w:tr>
      <w:tr w:rsidR="00A74697" w:rsidRPr="00A74697" w:rsidTr="00F74916">
        <w:trPr>
          <w:trHeight w:val="900"/>
        </w:trPr>
        <w:tc>
          <w:tcPr>
            <w:tcW w:w="700" w:type="dxa"/>
            <w:vMerge w:val="restart"/>
            <w:tcBorders>
              <w:top w:val="nil"/>
              <w:left w:val="single" w:sz="4" w:space="0" w:color="auto"/>
              <w:bottom w:val="single" w:sz="4" w:space="0" w:color="000000"/>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راهنما</w:t>
            </w:r>
          </w:p>
        </w:tc>
        <w:tc>
          <w:tcPr>
            <w:tcW w:w="742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مربی آمارعملکرد و تحلیل فرایند تجویز مسواک انگشتی کودکان زیر 2 سال (6ماهه12 ماهه و18ماهه)را در خانه های تحت پوشش خود داردو شاخص تجویز مسواک انگشتی کودکان یکماه تا 24 ماه مطلوب است. (بالای 80% نمره کامل تعلق میگیرد).2</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F74916">
        <w:trPr>
          <w:trHeight w:val="900"/>
        </w:trPr>
        <w:tc>
          <w:tcPr>
            <w:tcW w:w="700" w:type="dxa"/>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b/>
                <w:bCs/>
                <w:color w:val="000000"/>
                <w:sz w:val="20"/>
                <w:szCs w:val="20"/>
              </w:rPr>
            </w:pPr>
          </w:p>
        </w:tc>
        <w:tc>
          <w:tcPr>
            <w:tcW w:w="742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مربی آمارعملکرد و تحلیل فرایند وارنیش فلوراید تراپی  کودکان زیر شش سال را در خانه های تحت پوشش خود دارد و شاخص فلوراید تراپی کودکان 7-6 سال  مطلوب است. (بالای 80% نمره کامل تعلق میگیرد).2</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F74916">
        <w:trPr>
          <w:trHeight w:val="900"/>
        </w:trPr>
        <w:tc>
          <w:tcPr>
            <w:tcW w:w="700" w:type="dxa"/>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b/>
                <w:bCs/>
                <w:color w:val="000000"/>
                <w:sz w:val="20"/>
                <w:szCs w:val="20"/>
              </w:rPr>
            </w:pPr>
          </w:p>
        </w:tc>
        <w:tc>
          <w:tcPr>
            <w:tcW w:w="742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مربی آمارعملکرد و تحلیل فرایند معاینه دهان ودندان دانش آموزان ابتدایی(13-7سال) را در خانه های تحت پوشش خود داردو شاخص معاینه دهان ودندان کودکان 13-7 سال  مطلوب است. (بالای 80% نمره کامل تعلق میگیرد).2</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F74916">
        <w:trPr>
          <w:trHeight w:val="900"/>
        </w:trPr>
        <w:tc>
          <w:tcPr>
            <w:tcW w:w="700" w:type="dxa"/>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b/>
                <w:bCs/>
                <w:color w:val="000000"/>
                <w:sz w:val="20"/>
                <w:szCs w:val="20"/>
              </w:rPr>
            </w:pPr>
          </w:p>
        </w:tc>
        <w:tc>
          <w:tcPr>
            <w:tcW w:w="742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مربی آمارعملکرد و تحلیل از فرایند فلوراید تراپی  دانش آموزان ابتدایی(13-7سال) را در خانه های تحت پوشش خود داردو شاخص فلوراید تراپی کودکان 13-7 سال  مطلوب است. (بالای 80% نمره کامل تعلق میگیرد).2</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F74916">
        <w:trPr>
          <w:trHeight w:val="900"/>
        </w:trPr>
        <w:tc>
          <w:tcPr>
            <w:tcW w:w="700" w:type="dxa"/>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b/>
                <w:bCs/>
                <w:color w:val="000000"/>
                <w:sz w:val="20"/>
                <w:szCs w:val="20"/>
              </w:rPr>
            </w:pPr>
          </w:p>
        </w:tc>
        <w:tc>
          <w:tcPr>
            <w:tcW w:w="742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74697" w:rsidRPr="00A74697" w:rsidRDefault="00A74697" w:rsidP="00A74697">
            <w:pPr>
              <w:spacing w:after="0" w:line="240" w:lineRule="auto"/>
              <w:rPr>
                <w:rFonts w:ascii="Arial" w:eastAsia="Times New Roman" w:hAnsi="Arial" w:cs="B Nazanin"/>
                <w:color w:val="000000"/>
                <w:sz w:val="20"/>
                <w:szCs w:val="20"/>
                <w:rtl/>
              </w:rPr>
            </w:pPr>
            <w:r w:rsidRPr="00A74697">
              <w:rPr>
                <w:rFonts w:ascii="Arial" w:eastAsia="Times New Roman" w:hAnsi="Arial" w:cs="B Nazanin" w:hint="cs"/>
                <w:color w:val="000000"/>
                <w:sz w:val="20"/>
                <w:szCs w:val="20"/>
                <w:rtl/>
              </w:rPr>
              <w:t>مربی میانگین تعداد دندانهای پوسیده شیری(کودکان 6 ساله)ودندان های پوسیده دایمی (کودکان 12 ساله)را محاسبه نموده است.مربی میانگین تعداد دندانهای پوسیده شیری(کودکان 6 ساله)ودندان های پوسیده دایمی (کودکان 12 ساله)را محاسبه نموده است.2</w:t>
            </w:r>
            <w:r w:rsidRPr="00A74697">
              <w:rPr>
                <w:rFonts w:ascii="Arial" w:eastAsia="Times New Roman" w:hAnsi="Arial" w:cs="B Nazanin" w:hint="cs"/>
                <w:color w:val="000000"/>
                <w:sz w:val="20"/>
                <w:szCs w:val="20"/>
                <w:rtl/>
              </w:rPr>
              <w:br/>
              <w:t>صورت کسر (سامانه سیب/ خدمات / امار فعالیتهای دهان و دندان / دهان یا دندان/نوع فعالیت خارج کردن دندان  وترمیم //تاریخ/   سن 7-6 سال/جستجو</w:t>
            </w:r>
            <w:r w:rsidRPr="00A74697">
              <w:rPr>
                <w:rFonts w:ascii="Arial" w:eastAsia="Times New Roman" w:hAnsi="Arial" w:cs="B Nazanin" w:hint="cs"/>
                <w:color w:val="000000"/>
                <w:sz w:val="20"/>
                <w:szCs w:val="20"/>
                <w:rtl/>
              </w:rPr>
              <w:br/>
              <w:t>مخرج کسر : تعداد کودکان 6 ساله  معاینه شده(کمتر از 5  باشد 1 امتیاز)</w:t>
            </w:r>
            <w:r w:rsidRPr="00A74697">
              <w:rPr>
                <w:rFonts w:ascii="Arial" w:eastAsia="Times New Roman" w:hAnsi="Arial" w:cs="B Nazanin" w:hint="cs"/>
                <w:color w:val="000000"/>
                <w:sz w:val="20"/>
                <w:szCs w:val="20"/>
                <w:rtl/>
              </w:rPr>
              <w:br/>
              <w:t>صورت کسر ( خدمات / امار فعالیتهای دهان و دندان / دهان یا دندان/نوع فعالیت خارج کردن دندان  وترمیم //تاریخ/   سن 13-12 سال/جستجو</w:t>
            </w:r>
            <w:r w:rsidRPr="00A74697">
              <w:rPr>
                <w:rFonts w:ascii="Arial" w:eastAsia="Times New Roman" w:hAnsi="Arial" w:cs="B Nazanin" w:hint="cs"/>
                <w:color w:val="000000"/>
                <w:sz w:val="20"/>
                <w:szCs w:val="20"/>
                <w:rtl/>
              </w:rPr>
              <w:br/>
              <w:t>مخرج کسر : تعداد کودکان 12 ساله  معاینه شده(کمتر از 2/5  باشد 1 امتیاز)</w:t>
            </w:r>
          </w:p>
        </w:tc>
        <w:tc>
          <w:tcPr>
            <w:tcW w:w="125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6</w:t>
            </w:r>
          </w:p>
        </w:tc>
        <w:tc>
          <w:tcPr>
            <w:tcW w:w="7420" w:type="dxa"/>
            <w:tcBorders>
              <w:top w:val="nil"/>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به تعهدات پایش قبلی عمل نموده است</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F74916" w:rsidP="00A74697">
            <w:pPr>
              <w:spacing w:after="0" w:line="240" w:lineRule="auto"/>
              <w:jc w:val="center"/>
              <w:rPr>
                <w:rFonts w:ascii="Times New Roman" w:eastAsia="Times New Roman" w:hAnsi="Times New Roman" w:cs="Times New Roman"/>
                <w:b/>
                <w:bCs/>
                <w:color w:val="000000"/>
                <w:sz w:val="20"/>
                <w:szCs w:val="20"/>
                <w:rtl/>
              </w:rPr>
            </w:pPr>
            <w:r>
              <w:rPr>
                <w:rFonts w:ascii="Times New Roman" w:eastAsia="Times New Roman" w:hAnsi="Times New Roman" w:cs="Times New Roman" w:hint="cs"/>
                <w:b/>
                <w:bCs/>
                <w:color w:val="000000"/>
                <w:sz w:val="20"/>
                <w:szCs w:val="20"/>
                <w:rtl/>
              </w:rPr>
              <w:t>15</w:t>
            </w:r>
            <w:r w:rsidR="00A74697" w:rsidRPr="00A74697">
              <w:rPr>
                <w:rFonts w:ascii="Times New Roman" w:eastAsia="Times New Roman" w:hAnsi="Times New Roman" w:cs="Times New Roman"/>
                <w:b/>
                <w:bCs/>
                <w:color w:val="000000"/>
                <w:sz w:val="20"/>
                <w:szCs w:val="20"/>
                <w:rtl/>
              </w:rPr>
              <w:t> </w:t>
            </w:r>
          </w:p>
        </w:tc>
      </w:tr>
      <w:tr w:rsidR="00A74697" w:rsidRPr="00A74697" w:rsidTr="00A74697">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Arial" w:eastAsia="Times New Roman" w:hAnsi="Arial" w:cs="B Nazanin" w:hint="cs"/>
                <w:b/>
                <w:bCs/>
                <w:color w:val="000000"/>
                <w:sz w:val="20"/>
                <w:szCs w:val="20"/>
                <w:rtl/>
              </w:rPr>
              <w:t>7</w:t>
            </w:r>
          </w:p>
        </w:tc>
        <w:tc>
          <w:tcPr>
            <w:tcW w:w="7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97" w:rsidRPr="00A74697" w:rsidRDefault="00A74697" w:rsidP="00A74697">
            <w:pPr>
              <w:spacing w:after="0" w:line="240" w:lineRule="auto"/>
              <w:rPr>
                <w:rFonts w:ascii="Arial" w:eastAsia="Times New Roman" w:hAnsi="Arial" w:cs="B Nazanin"/>
                <w:sz w:val="20"/>
                <w:szCs w:val="20"/>
                <w:rtl/>
              </w:rPr>
            </w:pPr>
            <w:r w:rsidRPr="00A74697">
              <w:rPr>
                <w:rFonts w:ascii="Arial" w:eastAsia="Times New Roman" w:hAnsi="Arial" w:cs="B Nazanin" w:hint="cs"/>
                <w:sz w:val="20"/>
                <w:szCs w:val="20"/>
                <w:rtl/>
              </w:rPr>
              <w:t xml:space="preserve"> ارتقای فرایند انتخاب شده پیگیری میشود.</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F74916" w:rsidP="00A74697">
            <w:pPr>
              <w:spacing w:after="0" w:line="240" w:lineRule="auto"/>
              <w:jc w:val="center"/>
              <w:rPr>
                <w:rFonts w:ascii="Times New Roman" w:eastAsia="Times New Roman" w:hAnsi="Times New Roman" w:cs="Times New Roman"/>
                <w:b/>
                <w:bCs/>
                <w:color w:val="000000"/>
                <w:sz w:val="20"/>
                <w:szCs w:val="20"/>
                <w:rtl/>
              </w:rPr>
            </w:pPr>
            <w:r>
              <w:rPr>
                <w:rFonts w:ascii="Times New Roman" w:eastAsia="Times New Roman" w:hAnsi="Times New Roman" w:cs="Times New Roman" w:hint="cs"/>
                <w:b/>
                <w:bCs/>
                <w:color w:val="000000"/>
                <w:sz w:val="20"/>
                <w:szCs w:val="20"/>
                <w:rtl/>
              </w:rPr>
              <w:t>10</w:t>
            </w:r>
            <w:r w:rsidR="00A74697" w:rsidRPr="00A74697">
              <w:rPr>
                <w:rFonts w:ascii="Times New Roman" w:eastAsia="Times New Roman" w:hAnsi="Times New Roman" w:cs="Times New Roman"/>
                <w:b/>
                <w:bCs/>
                <w:color w:val="000000"/>
                <w:sz w:val="20"/>
                <w:szCs w:val="20"/>
                <w:rtl/>
              </w:rPr>
              <w:t> </w:t>
            </w:r>
          </w:p>
        </w:tc>
      </w:tr>
      <w:tr w:rsidR="00A74697" w:rsidRPr="00A74697" w:rsidTr="00F74916">
        <w:trPr>
          <w:trHeight w:val="402"/>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Arial" w:eastAsia="Times New Roman" w:hAnsi="Arial" w:cs="B Nazanin"/>
                <w:b/>
                <w:bCs/>
                <w:color w:val="000000"/>
                <w:sz w:val="20"/>
                <w:szCs w:val="20"/>
                <w:rtl/>
              </w:rPr>
            </w:pPr>
            <w:r w:rsidRPr="00A74697">
              <w:rPr>
                <w:rFonts w:ascii="Cambria" w:eastAsia="Times New Roman" w:hAnsi="Cambria" w:cs="Cambria" w:hint="cs"/>
                <w:b/>
                <w:bCs/>
                <w:color w:val="000000"/>
                <w:sz w:val="20"/>
                <w:szCs w:val="20"/>
                <w:rtl/>
              </w:rPr>
              <w:t> </w:t>
            </w:r>
          </w:p>
        </w:tc>
        <w:tc>
          <w:tcPr>
            <w:tcW w:w="7420" w:type="dxa"/>
            <w:tcBorders>
              <w:top w:val="nil"/>
              <w:left w:val="nil"/>
              <w:bottom w:val="nil"/>
              <w:right w:val="nil"/>
            </w:tcBorders>
            <w:shd w:val="clear" w:color="auto" w:fill="auto"/>
            <w:noWrap/>
            <w:vAlign w:val="center"/>
          </w:tcPr>
          <w:p w:rsidR="00A74697" w:rsidRPr="00A74697" w:rsidRDefault="00A74697" w:rsidP="00A74697">
            <w:pPr>
              <w:spacing w:after="0" w:line="240" w:lineRule="auto"/>
              <w:rPr>
                <w:rFonts w:ascii="Arial" w:eastAsia="Times New Roman" w:hAnsi="Arial" w:cs="B Nazanin"/>
                <w:color w:val="000000"/>
                <w:sz w:val="20"/>
                <w:szCs w:val="20"/>
                <w:rtl/>
              </w:rPr>
            </w:pPr>
          </w:p>
        </w:tc>
        <w:tc>
          <w:tcPr>
            <w:tcW w:w="1256" w:type="dxa"/>
            <w:tcBorders>
              <w:top w:val="nil"/>
              <w:left w:val="single" w:sz="4" w:space="0" w:color="auto"/>
              <w:bottom w:val="single" w:sz="4" w:space="0" w:color="auto"/>
              <w:right w:val="single" w:sz="4" w:space="0" w:color="auto"/>
            </w:tcBorders>
            <w:shd w:val="clear" w:color="000000" w:fill="FFFFFF"/>
            <w:vAlign w:val="center"/>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p>
        </w:tc>
      </w:tr>
      <w:tr w:rsidR="00A74697" w:rsidRPr="00A74697" w:rsidTr="00A74697">
        <w:trPr>
          <w:trHeight w:val="900"/>
        </w:trPr>
        <w:tc>
          <w:tcPr>
            <w:tcW w:w="8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جمع نمره</w:t>
            </w:r>
          </w:p>
        </w:tc>
        <w:tc>
          <w:tcPr>
            <w:tcW w:w="1256" w:type="dxa"/>
            <w:tcBorders>
              <w:top w:val="nil"/>
              <w:left w:val="single" w:sz="4" w:space="0" w:color="auto"/>
              <w:bottom w:val="single" w:sz="4" w:space="0" w:color="auto"/>
              <w:right w:val="single" w:sz="4" w:space="0" w:color="auto"/>
            </w:tcBorders>
            <w:shd w:val="clear" w:color="000000" w:fill="FFFFFF"/>
            <w:vAlign w:val="center"/>
            <w:hideMark/>
          </w:tcPr>
          <w:p w:rsidR="00A74697" w:rsidRPr="00A74697" w:rsidRDefault="00A74697" w:rsidP="00A74697">
            <w:pPr>
              <w:spacing w:after="0" w:line="240" w:lineRule="auto"/>
              <w:jc w:val="center"/>
              <w:rPr>
                <w:rFonts w:ascii="Times New Roman" w:eastAsia="Times New Roman" w:hAnsi="Times New Roman" w:cs="Times New Roman"/>
                <w:b/>
                <w:bCs/>
                <w:color w:val="000000"/>
                <w:sz w:val="20"/>
                <w:szCs w:val="20"/>
                <w:rtl/>
              </w:rPr>
            </w:pPr>
            <w:r w:rsidRPr="00A74697">
              <w:rPr>
                <w:rFonts w:ascii="Times New Roman" w:eastAsia="Times New Roman" w:hAnsi="Times New Roman" w:cs="Times New Roman"/>
                <w:b/>
                <w:bCs/>
                <w:color w:val="000000"/>
                <w:sz w:val="20"/>
                <w:szCs w:val="20"/>
                <w:rtl/>
              </w:rPr>
              <w:t>100</w:t>
            </w:r>
          </w:p>
        </w:tc>
      </w:tr>
    </w:tbl>
    <w:p w:rsidR="005B4DA3" w:rsidRDefault="005B4DA3" w:rsidP="00A74697"/>
    <w:sectPr w:rsidR="005B4DA3" w:rsidSect="00A626B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97"/>
    <w:rsid w:val="001644F7"/>
    <w:rsid w:val="005B4DA3"/>
    <w:rsid w:val="00A626BB"/>
    <w:rsid w:val="00A74697"/>
    <w:rsid w:val="00F749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97706-0E58-472F-868B-AF273E02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6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 Sayyari</dc:creator>
  <cp:keywords/>
  <dc:description/>
  <cp:lastModifiedBy>Parvin Sayyari</cp:lastModifiedBy>
  <cp:revision>3</cp:revision>
  <dcterms:created xsi:type="dcterms:W3CDTF">2020-02-02T10:32:00Z</dcterms:created>
  <dcterms:modified xsi:type="dcterms:W3CDTF">2021-06-22T03:27:00Z</dcterms:modified>
</cp:coreProperties>
</file>